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00" w:type="dxa"/>
        <w:jc w:val="center"/>
        <w:tblCellSpacing w:w="0" w:type="dxa"/>
        <w:tblCellMar>
          <w:left w:w="0" w:type="dxa"/>
          <w:right w:w="0" w:type="dxa"/>
        </w:tblCellMar>
        <w:tblLook w:val="04A0" w:firstRow="1" w:lastRow="0" w:firstColumn="1" w:lastColumn="0" w:noHBand="0" w:noVBand="1"/>
      </w:tblPr>
      <w:tblGrid>
        <w:gridCol w:w="10800"/>
      </w:tblGrid>
      <w:tr w:rsidR="007150E7" w:rsidRPr="007150E7">
        <w:trPr>
          <w:tblCellSpacing w:w="0" w:type="dxa"/>
          <w:jc w:val="center"/>
        </w:trPr>
        <w:tc>
          <w:tcPr>
            <w:tcW w:w="0" w:type="auto"/>
            <w:vAlign w:val="center"/>
            <w:hideMark/>
          </w:tcPr>
          <w:p w:rsidR="007150E7" w:rsidRPr="007150E7" w:rsidRDefault="007150E7" w:rsidP="007150E7">
            <w:pPr>
              <w:widowControl/>
              <w:ind w:firstLineChars="1250" w:firstLine="3012"/>
              <w:jc w:val="left"/>
              <w:rPr>
                <w:rFonts w:ascii="宋体" w:eastAsia="宋体" w:hAnsi="宋体" w:cs="宋体"/>
                <w:b/>
                <w:bCs/>
                <w:kern w:val="0"/>
                <w:sz w:val="24"/>
                <w:szCs w:val="24"/>
              </w:rPr>
            </w:pPr>
            <w:bookmarkStart w:id="0" w:name="_GoBack"/>
            <w:r w:rsidRPr="007150E7">
              <w:rPr>
                <w:rFonts w:ascii="宋体" w:eastAsia="宋体" w:hAnsi="宋体" w:cs="宋体" w:hint="eastAsia"/>
                <w:b/>
                <w:bCs/>
                <w:kern w:val="0"/>
                <w:sz w:val="24"/>
                <w:szCs w:val="24"/>
              </w:rPr>
              <w:t>本科毕业生考研奖励办法（修订）</w:t>
            </w:r>
            <w:bookmarkEnd w:id="0"/>
            <w:r w:rsidRPr="007150E7">
              <w:rPr>
                <w:rFonts w:ascii="宋体" w:eastAsia="宋体" w:hAnsi="宋体" w:cs="宋体" w:hint="eastAsia"/>
                <w:b/>
                <w:bCs/>
                <w:kern w:val="0"/>
                <w:sz w:val="24"/>
                <w:szCs w:val="24"/>
              </w:rPr>
              <w:t xml:space="preserve"> </w:t>
            </w:r>
          </w:p>
        </w:tc>
      </w:tr>
      <w:tr w:rsidR="007150E7" w:rsidRPr="007150E7">
        <w:trPr>
          <w:trHeight w:val="300"/>
          <w:tblCellSpacing w:w="0" w:type="dxa"/>
          <w:jc w:val="center"/>
        </w:trPr>
        <w:tc>
          <w:tcPr>
            <w:tcW w:w="0" w:type="auto"/>
            <w:shd w:val="clear" w:color="auto" w:fill="E6E6E6"/>
            <w:vAlign w:val="center"/>
            <w:hideMark/>
          </w:tcPr>
          <w:p w:rsidR="007150E7" w:rsidRPr="007150E7" w:rsidRDefault="007150E7" w:rsidP="007150E7">
            <w:pPr>
              <w:widowControl/>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发布人：dujianying    访问次数：38    发布时间：2016/1/5 17:55:00</w:t>
            </w:r>
          </w:p>
        </w:tc>
      </w:tr>
      <w:tr w:rsidR="007150E7" w:rsidRPr="007150E7">
        <w:trPr>
          <w:tblCellSpacing w:w="0" w:type="dxa"/>
          <w:jc w:val="center"/>
        </w:trPr>
        <w:tc>
          <w:tcPr>
            <w:tcW w:w="0" w:type="auto"/>
            <w:vAlign w:val="center"/>
            <w:hideMark/>
          </w:tcPr>
          <w:p w:rsidR="007150E7" w:rsidRPr="007150E7" w:rsidRDefault="007150E7" w:rsidP="007150E7">
            <w:pPr>
              <w:widowControl/>
              <w:wordWrap w:val="0"/>
              <w:spacing w:before="100" w:beforeAutospacing="1" w:after="100" w:afterAutospacing="1"/>
              <w:jc w:val="center"/>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校教字〔2015〕53号 </w:t>
            </w:r>
          </w:p>
          <w:p w:rsidR="007150E7" w:rsidRPr="007150E7" w:rsidRDefault="007150E7" w:rsidP="007150E7">
            <w:pPr>
              <w:widowControl/>
              <w:wordWrap w:val="0"/>
              <w:spacing w:before="100" w:beforeAutospacing="1" w:after="100" w:afterAutospacing="1"/>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  </w:t>
            </w:r>
          </w:p>
          <w:p w:rsidR="007150E7" w:rsidRPr="007150E7" w:rsidRDefault="007150E7" w:rsidP="007150E7">
            <w:pPr>
              <w:widowControl/>
              <w:wordWrap w:val="0"/>
              <w:spacing w:before="100" w:beforeAutospacing="1" w:after="100" w:afterAutospacing="1"/>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  </w:t>
            </w:r>
          </w:p>
          <w:p w:rsidR="007150E7" w:rsidRPr="007150E7" w:rsidRDefault="007150E7" w:rsidP="007150E7">
            <w:pPr>
              <w:widowControl/>
              <w:wordWrap w:val="0"/>
              <w:spacing w:before="100" w:beforeAutospacing="1" w:after="100" w:afterAutospacing="1"/>
              <w:jc w:val="center"/>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河北科技师范学院 </w:t>
            </w:r>
          </w:p>
          <w:p w:rsidR="007150E7" w:rsidRPr="007150E7" w:rsidRDefault="007150E7" w:rsidP="007150E7">
            <w:pPr>
              <w:widowControl/>
              <w:wordWrap w:val="0"/>
              <w:spacing w:before="100" w:beforeAutospacing="1" w:after="100" w:afterAutospacing="1"/>
              <w:jc w:val="center"/>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关于印发《本科毕业生考研奖励办法（修订）》的通　知 </w:t>
            </w:r>
          </w:p>
          <w:p w:rsidR="007150E7" w:rsidRPr="007150E7" w:rsidRDefault="007150E7" w:rsidP="007150E7">
            <w:pPr>
              <w:widowControl/>
              <w:wordWrap w:val="0"/>
              <w:spacing w:before="100" w:beforeAutospacing="1" w:after="100" w:afterAutospacing="1"/>
              <w:jc w:val="center"/>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  </w:t>
            </w:r>
          </w:p>
          <w:p w:rsidR="007150E7" w:rsidRPr="007150E7" w:rsidRDefault="007150E7" w:rsidP="007150E7">
            <w:pPr>
              <w:widowControl/>
              <w:wordWrap w:val="0"/>
              <w:spacing w:before="100" w:beforeAutospacing="1" w:after="100" w:afterAutospacing="1"/>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各院（系、部），相关处（室）： </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《河北科技师范学院本科毕业生考研奖励办法（修订）》已经校长办公会研究通过，现印发给你们，请遵照执行。 </w:t>
            </w:r>
          </w:p>
          <w:p w:rsidR="007150E7" w:rsidRPr="007150E7" w:rsidRDefault="007150E7" w:rsidP="007150E7">
            <w:pPr>
              <w:widowControl/>
              <w:wordWrap w:val="0"/>
              <w:spacing w:before="100" w:beforeAutospacing="1" w:after="100" w:afterAutospacing="1"/>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  </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  </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  </w:t>
            </w:r>
          </w:p>
          <w:p w:rsidR="007150E7" w:rsidRPr="007150E7" w:rsidRDefault="007150E7" w:rsidP="007150E7">
            <w:pPr>
              <w:widowControl/>
              <w:wordWrap w:val="0"/>
              <w:spacing w:before="100" w:beforeAutospacing="1" w:after="100" w:afterAutospacing="1"/>
              <w:jc w:val="center"/>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                             河北科技师范学院 </w:t>
            </w:r>
          </w:p>
          <w:p w:rsidR="007150E7" w:rsidRPr="007150E7" w:rsidRDefault="007150E7" w:rsidP="007150E7">
            <w:pPr>
              <w:widowControl/>
              <w:wordWrap w:val="0"/>
              <w:spacing w:before="100" w:beforeAutospacing="1" w:after="100" w:afterAutospacing="1"/>
              <w:jc w:val="center"/>
              <w:rPr>
                <w:rFonts w:ascii="宋体" w:eastAsia="宋体" w:hAnsi="宋体" w:cs="宋体" w:hint="eastAsia"/>
                <w:kern w:val="0"/>
                <w:sz w:val="18"/>
                <w:szCs w:val="18"/>
              </w:rPr>
            </w:pPr>
            <w:r w:rsidRPr="007150E7">
              <w:rPr>
                <w:rFonts w:ascii="宋体" w:eastAsia="宋体" w:hAnsi="宋体" w:cs="宋体" w:hint="eastAsia"/>
                <w:kern w:val="0"/>
                <w:sz w:val="18"/>
                <w:szCs w:val="18"/>
              </w:rPr>
              <w:t xml:space="preserve">                              2015年12月28日 </w:t>
            </w:r>
          </w:p>
          <w:p w:rsidR="007150E7" w:rsidRPr="007150E7" w:rsidRDefault="007150E7" w:rsidP="007150E7">
            <w:pPr>
              <w:widowControl/>
              <w:wordWrap w:val="0"/>
              <w:jc w:val="left"/>
              <w:rPr>
                <w:rFonts w:ascii="宋体" w:eastAsia="宋体" w:hAnsi="宋体" w:cs="宋体" w:hint="eastAsia"/>
                <w:kern w:val="0"/>
                <w:sz w:val="18"/>
                <w:szCs w:val="18"/>
              </w:rPr>
            </w:pPr>
          </w:p>
          <w:p w:rsidR="007150E7" w:rsidRPr="007150E7" w:rsidRDefault="007150E7" w:rsidP="007150E7">
            <w:pPr>
              <w:widowControl/>
              <w:wordWrap w:val="0"/>
              <w:spacing w:before="100" w:beforeAutospacing="1" w:after="100" w:afterAutospacing="1"/>
              <w:jc w:val="center"/>
              <w:rPr>
                <w:rFonts w:ascii="宋体" w:eastAsia="宋体" w:hAnsi="宋体" w:cs="宋体" w:hint="eastAsia"/>
                <w:kern w:val="0"/>
                <w:sz w:val="18"/>
                <w:szCs w:val="18"/>
              </w:rPr>
            </w:pPr>
            <w:r w:rsidRPr="007150E7">
              <w:rPr>
                <w:rFonts w:ascii="宋体" w:eastAsia="宋体" w:hAnsi="宋体" w:cs="宋体" w:hint="eastAsia"/>
                <w:kern w:val="0"/>
                <w:sz w:val="18"/>
                <w:szCs w:val="18"/>
              </w:rPr>
              <w:t>河北科技师范学院</w:t>
            </w:r>
          </w:p>
          <w:p w:rsidR="007150E7" w:rsidRPr="007150E7" w:rsidRDefault="007150E7" w:rsidP="007150E7">
            <w:pPr>
              <w:widowControl/>
              <w:wordWrap w:val="0"/>
              <w:spacing w:before="100" w:beforeAutospacing="1" w:after="100" w:afterAutospacing="1"/>
              <w:jc w:val="center"/>
              <w:rPr>
                <w:rFonts w:ascii="宋体" w:eastAsia="宋体" w:hAnsi="宋体" w:cs="宋体" w:hint="eastAsia"/>
                <w:kern w:val="0"/>
                <w:sz w:val="18"/>
                <w:szCs w:val="18"/>
              </w:rPr>
            </w:pPr>
            <w:r w:rsidRPr="007150E7">
              <w:rPr>
                <w:rFonts w:ascii="宋体" w:eastAsia="宋体" w:hAnsi="宋体" w:cs="宋体" w:hint="eastAsia"/>
                <w:kern w:val="0"/>
                <w:sz w:val="18"/>
                <w:szCs w:val="18"/>
              </w:rPr>
              <w:t>本科毕业生考研奖励办法（修订）</w:t>
            </w:r>
          </w:p>
          <w:p w:rsidR="007150E7" w:rsidRPr="007150E7" w:rsidRDefault="007150E7" w:rsidP="007150E7">
            <w:pPr>
              <w:widowControl/>
              <w:wordWrap w:val="0"/>
              <w:spacing w:before="100" w:beforeAutospacing="1" w:after="100" w:afterAutospacing="1"/>
              <w:jc w:val="center"/>
              <w:rPr>
                <w:rFonts w:ascii="宋体" w:eastAsia="宋体" w:hAnsi="宋体" w:cs="宋体" w:hint="eastAsia"/>
                <w:kern w:val="0"/>
                <w:sz w:val="18"/>
                <w:szCs w:val="18"/>
              </w:rPr>
            </w:pPr>
            <w:r w:rsidRPr="007150E7">
              <w:rPr>
                <w:rFonts w:ascii="宋体" w:eastAsia="宋体" w:hAnsi="宋体" w:cs="宋体" w:hint="eastAsia"/>
                <w:kern w:val="0"/>
                <w:sz w:val="18"/>
                <w:szCs w:val="18"/>
              </w:rPr>
              <w:t> </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报考研究生是有志青年学生实现个性与特长发展、专业深造与科技创新、个人成才与报效国家理想愿望的重要途径，为充分调动学生学习的积极性，鼓励教师加强考研引导和指导，营造浓郁的考研氛围，促进校风、教风、学风建设，提高学生的培养质量，拓宽就业渠道，提高就业质量，引导学生开拓进取、奋发成才，根据我校实际，特制定本办法。 </w:t>
            </w:r>
          </w:p>
          <w:p w:rsidR="007150E7" w:rsidRPr="007150E7" w:rsidRDefault="007150E7" w:rsidP="007150E7">
            <w:pPr>
              <w:widowControl/>
              <w:wordWrap w:val="0"/>
              <w:spacing w:before="100" w:beforeAutospacing="1" w:after="100" w:afterAutospacing="1"/>
              <w:ind w:firstLine="627"/>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一、适用范围</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我校全日制应届本科学生或满足考研报名条件的学生，以下简称学生。</w:t>
            </w:r>
          </w:p>
          <w:p w:rsidR="007150E7" w:rsidRPr="007150E7" w:rsidRDefault="007150E7" w:rsidP="007150E7">
            <w:pPr>
              <w:widowControl/>
              <w:wordWrap w:val="0"/>
              <w:spacing w:before="100" w:beforeAutospacing="1" w:after="100" w:afterAutospacing="1"/>
              <w:ind w:firstLine="627"/>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二、报名与组织管理</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lastRenderedPageBreak/>
              <w:t>学校成立考研工作协调小组，由分管教学校长任组长，教务处处长任副组长，各院（系）相关领导为成员，办公室设在教务处实践教学科，负责全校考研信息统计、动态分析、学习条件保障、组织审核评奖、奖金审核发放等日常工作。各院（系）成立考研工作指导小组，负责本院（系）的考研宣传、发动、组织及辅导答疑、奖金分配等相关工作。   </w:t>
            </w:r>
          </w:p>
          <w:p w:rsidR="007150E7" w:rsidRPr="007150E7" w:rsidRDefault="007150E7" w:rsidP="007150E7">
            <w:pPr>
              <w:widowControl/>
              <w:wordWrap w:val="0"/>
              <w:spacing w:before="100" w:beforeAutospacing="1" w:after="100" w:afterAutospacing="1"/>
              <w:ind w:firstLine="627"/>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三、奖励原则政策</w:t>
            </w:r>
          </w:p>
          <w:p w:rsidR="007150E7" w:rsidRPr="007150E7" w:rsidRDefault="007150E7" w:rsidP="007150E7">
            <w:pPr>
              <w:widowControl/>
              <w:wordWrap w:val="0"/>
              <w:spacing w:before="100" w:beforeAutospacing="1" w:after="100" w:afterAutospacing="1"/>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（一）奖励原则</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1.集体奖励与个人奖励相结合的原则。集体包括各院（系）教学单位、各专业教学部等；个人包括为该项工作做出贡献的组织者、管理人员、辅导员、专任教师、指导教师和考研学生等。</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2.报考奖励与考取奖励相结合的原则。做到报考有资助，考取有奖励。</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3.横向比较与纵向比较相结合的原则。横向比较奖励：集体在全校平均考取率以上有优胜奖；纵向比较奖励：集体单位当年与往年比较，考研率提高有进步奖。</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4.普通本科和特殊生源、专业相结合的原则。如对口生源、专接本考生、体育生、艺术生等在指定范围内单独统计、标准适度降低。</w:t>
            </w:r>
          </w:p>
          <w:p w:rsidR="007150E7" w:rsidRPr="007150E7" w:rsidRDefault="007150E7" w:rsidP="007150E7">
            <w:pPr>
              <w:widowControl/>
              <w:wordWrap w:val="0"/>
              <w:spacing w:before="100" w:beforeAutospacing="1" w:after="100" w:afterAutospacing="1"/>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（二）鼓励政策</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1.凡我校自愿报名参加考研的学生，自毕业前1-2年开始即可向所在院（系）提出书面申请，并经各院（系）汇总后报教务处。</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2.参加考研的学生凭报名手续、院（系）出具的证明和审批意见，报教务处批准后，在毕业前倒数第二学期进行的校内外实习及毕业论文（设计）前期工作可安排在研究生考试结束后进行。</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3.学校根据每年报考学生人数在各校区安排相应的考研学习教室，为考研学生创设一个安静的学习环境和良好的学习氛围。</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4.学生考入重点大学（“985”和“211工程”院校、国家中科院、社科院所属的科研院所等）且符合评定校级优秀毕业生条件的，在同等条件下优先考虑。</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5.假期不回家需在校住宿考研的同学，学校依据院（系）出具的证明优先安排住宿。</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6.考试期间，当考生达到一定规模时，由学生处会同校园规划与国有资产管理处和后勤服务总公司联系运营车辆对昌黎校区的考生以优惠价格安排好考生接送工作，确保考生顺利参加考试。</w:t>
            </w:r>
          </w:p>
          <w:p w:rsidR="007150E7" w:rsidRPr="007150E7" w:rsidRDefault="007150E7" w:rsidP="007150E7">
            <w:pPr>
              <w:widowControl/>
              <w:wordWrap w:val="0"/>
              <w:spacing w:before="100" w:beforeAutospacing="1" w:after="100" w:afterAutospacing="1"/>
              <w:ind w:firstLine="627"/>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四、计算规则</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报考比率和考取比率以专业为单位进行统计，计算报考率和录取率分别以准考证和录取通知书为准，报考率（%）R1＝该专业报考人数/该专业应届实有人数；考取率（%）R2＝该专业考取人数/该专业应届实有人数。全校考取率R3（%）＝全校考取人数/全校应届实有人数。对口、接本、艺术、体育类考生在本类学生范围内依上述公式单独计算。</w:t>
            </w:r>
          </w:p>
          <w:p w:rsidR="007150E7" w:rsidRPr="007150E7" w:rsidRDefault="007150E7" w:rsidP="007150E7">
            <w:pPr>
              <w:widowControl/>
              <w:wordWrap w:val="0"/>
              <w:spacing w:before="100" w:beforeAutospacing="1" w:after="100" w:afterAutospacing="1"/>
              <w:ind w:firstLine="627"/>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五、奖励标准</w:t>
            </w:r>
          </w:p>
          <w:p w:rsidR="007150E7" w:rsidRPr="007150E7" w:rsidRDefault="007150E7" w:rsidP="007150E7">
            <w:pPr>
              <w:widowControl/>
              <w:wordWrap w:val="0"/>
              <w:spacing w:before="100" w:beforeAutospacing="1" w:after="100" w:afterAutospacing="1"/>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（一）学生奖励</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lastRenderedPageBreak/>
              <w:t>被普通本科院校录取的学生，奖励200元/生（费用从院系奖励中列支）；被“211工程”院校录取的学生，奖励400元/生，被“985院校”、国家中科院、社科院所属的科研院所和国家公务员录取的学生，奖励500元/生（此项由学校统一支付）。</w:t>
            </w:r>
          </w:p>
          <w:p w:rsidR="007150E7" w:rsidRPr="007150E7" w:rsidRDefault="007150E7" w:rsidP="007150E7">
            <w:pPr>
              <w:widowControl/>
              <w:wordWrap w:val="0"/>
              <w:spacing w:before="100" w:beforeAutospacing="1" w:after="100" w:afterAutospacing="1"/>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（二）集体奖励</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1.报考率奖励标准                        单位：元</w:t>
            </w:r>
          </w:p>
          <w:tbl>
            <w:tblPr>
              <w:tblW w:w="9108" w:type="dxa"/>
              <w:tblCellSpacing w:w="15" w:type="dxa"/>
              <w:tblCellMar>
                <w:top w:w="15" w:type="dxa"/>
                <w:left w:w="15" w:type="dxa"/>
                <w:bottom w:w="15" w:type="dxa"/>
                <w:right w:w="15" w:type="dxa"/>
              </w:tblCellMar>
              <w:tblLook w:val="04A0" w:firstRow="1" w:lastRow="0" w:firstColumn="1" w:lastColumn="0" w:noHBand="0" w:noVBand="1"/>
            </w:tblPr>
            <w:tblGrid>
              <w:gridCol w:w="1150"/>
              <w:gridCol w:w="1030"/>
              <w:gridCol w:w="861"/>
              <w:gridCol w:w="981"/>
              <w:gridCol w:w="1145"/>
              <w:gridCol w:w="981"/>
              <w:gridCol w:w="1131"/>
              <w:gridCol w:w="1066"/>
              <w:gridCol w:w="763"/>
            </w:tblGrid>
            <w:tr w:rsidR="007150E7" w:rsidRPr="007150E7" w:rsidTr="007150E7">
              <w:trPr>
                <w:tblCellSpacing w:w="15" w:type="dxa"/>
              </w:trPr>
              <w:tc>
                <w:tcPr>
                  <w:tcW w:w="1140" w:type="dxa"/>
                  <w:vMerge w:val="restart"/>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 w:val="18"/>
                      <w:szCs w:val="18"/>
                    </w:rPr>
                    <w:t>标准</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 w:val="18"/>
                      <w:szCs w:val="18"/>
                    </w:rPr>
                    <w:t>类别</w:t>
                  </w:r>
                  <w:r w:rsidRPr="007150E7">
                    <w:rPr>
                      <w:rFonts w:ascii="宋体" w:eastAsia="宋体" w:hAnsi="宋体" w:cs="宋体" w:hint="eastAsia"/>
                      <w:kern w:val="0"/>
                      <w:sz w:val="18"/>
                      <w:szCs w:val="18"/>
                    </w:rPr>
                    <w:t xml:space="preserve"> </w:t>
                  </w:r>
                </w:p>
              </w:tc>
              <w:tc>
                <w:tcPr>
                  <w:tcW w:w="1890" w:type="dxa"/>
                  <w:gridSpan w:val="2"/>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标准</w:t>
                  </w:r>
                  <w:r w:rsidRPr="007150E7">
                    <w:rPr>
                      <w:rFonts w:ascii="宋体" w:eastAsia="宋体" w:hAnsi="宋体" w:cs="宋体" w:hint="eastAsia"/>
                      <w:kern w:val="0"/>
                      <w:sz w:val="18"/>
                      <w:szCs w:val="18"/>
                    </w:rPr>
                    <w:t xml:space="preserve"> </w:t>
                  </w:r>
                </w:p>
              </w:tc>
              <w:tc>
                <w:tcPr>
                  <w:tcW w:w="2130" w:type="dxa"/>
                  <w:gridSpan w:val="2"/>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标准</w:t>
                  </w:r>
                  <w:r w:rsidRPr="007150E7">
                    <w:rPr>
                      <w:rFonts w:ascii="宋体" w:eastAsia="宋体" w:hAnsi="宋体" w:cs="宋体" w:hint="eastAsia"/>
                      <w:kern w:val="0"/>
                      <w:sz w:val="18"/>
                      <w:szCs w:val="18"/>
                    </w:rPr>
                    <w:t xml:space="preserve"> </w:t>
                  </w:r>
                </w:p>
              </w:tc>
              <w:tc>
                <w:tcPr>
                  <w:tcW w:w="2115" w:type="dxa"/>
                  <w:gridSpan w:val="2"/>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标准</w:t>
                  </w:r>
                  <w:r w:rsidRPr="007150E7">
                    <w:rPr>
                      <w:rFonts w:ascii="宋体" w:eastAsia="宋体" w:hAnsi="宋体" w:cs="宋体" w:hint="eastAsia"/>
                      <w:kern w:val="0"/>
                      <w:sz w:val="18"/>
                      <w:szCs w:val="18"/>
                    </w:rPr>
                    <w:t xml:space="preserve"> </w:t>
                  </w:r>
                </w:p>
              </w:tc>
              <w:tc>
                <w:tcPr>
                  <w:tcW w:w="1800" w:type="dxa"/>
                  <w:gridSpan w:val="2"/>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标准</w:t>
                  </w:r>
                  <w:r w:rsidRPr="007150E7">
                    <w:rPr>
                      <w:rFonts w:ascii="宋体" w:eastAsia="宋体" w:hAnsi="宋体" w:cs="宋体" w:hint="eastAsia"/>
                      <w:kern w:val="0"/>
                      <w:sz w:val="18"/>
                      <w:szCs w:val="18"/>
                    </w:rPr>
                    <w:t xml:space="preserve"> </w:t>
                  </w:r>
                </w:p>
              </w:tc>
            </w:tr>
            <w:tr w:rsidR="007150E7" w:rsidRPr="007150E7" w:rsidTr="007150E7">
              <w:trPr>
                <w:tblCellSpacing w:w="15"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jc w:val="left"/>
                    <w:rPr>
                      <w:rFonts w:ascii="宋体" w:eastAsia="宋体" w:hAnsi="宋体" w:cs="宋体"/>
                      <w:kern w:val="0"/>
                      <w:sz w:val="18"/>
                      <w:szCs w:val="18"/>
                    </w:rPr>
                  </w:pPr>
                </w:p>
              </w:tc>
              <w:tc>
                <w:tcPr>
                  <w:tcW w:w="1035"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1</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 </w:t>
                  </w:r>
                  <w:r w:rsidRPr="007150E7">
                    <w:rPr>
                      <w:rFonts w:ascii="宋体" w:eastAsia="宋体" w:hAnsi="宋体" w:cs="宋体" w:hint="eastAsia"/>
                      <w:kern w:val="0"/>
                      <w:sz w:val="18"/>
                      <w:szCs w:val="18"/>
                    </w:rPr>
                    <w:t xml:space="preserve"> </w:t>
                  </w:r>
                </w:p>
              </w:tc>
              <w:tc>
                <w:tcPr>
                  <w:tcW w:w="84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金额</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（元）</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1</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 </w:t>
                  </w:r>
                  <w:r w:rsidRPr="007150E7">
                    <w:rPr>
                      <w:rFonts w:ascii="宋体" w:eastAsia="宋体" w:hAnsi="宋体" w:cs="宋体" w:hint="eastAsia"/>
                      <w:kern w:val="0"/>
                      <w:sz w:val="18"/>
                      <w:szCs w:val="18"/>
                    </w:rPr>
                    <w:t xml:space="preserve"> </w:t>
                  </w:r>
                </w:p>
              </w:tc>
              <w:tc>
                <w:tcPr>
                  <w:tcW w:w="114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金额</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（元）</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1</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 </w:t>
                  </w:r>
                  <w:r w:rsidRPr="007150E7">
                    <w:rPr>
                      <w:rFonts w:ascii="宋体" w:eastAsia="宋体" w:hAnsi="宋体" w:cs="宋体" w:hint="eastAsia"/>
                      <w:kern w:val="0"/>
                      <w:sz w:val="18"/>
                      <w:szCs w:val="18"/>
                    </w:rPr>
                    <w:t xml:space="preserve"> </w:t>
                  </w:r>
                </w:p>
              </w:tc>
              <w:tc>
                <w:tcPr>
                  <w:tcW w:w="1125"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金额</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（元）</w:t>
                  </w:r>
                  <w:r w:rsidRPr="007150E7">
                    <w:rPr>
                      <w:rFonts w:ascii="宋体" w:eastAsia="宋体" w:hAnsi="宋体" w:cs="宋体" w:hint="eastAsia"/>
                      <w:kern w:val="0"/>
                      <w:sz w:val="18"/>
                      <w:szCs w:val="18"/>
                    </w:rPr>
                    <w:t xml:space="preserve"> </w:t>
                  </w:r>
                </w:p>
              </w:tc>
              <w:tc>
                <w:tcPr>
                  <w:tcW w:w="108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1</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 </w:t>
                  </w:r>
                  <w:r w:rsidRPr="007150E7">
                    <w:rPr>
                      <w:rFonts w:ascii="宋体" w:eastAsia="宋体" w:hAnsi="宋体" w:cs="宋体" w:hint="eastAsia"/>
                      <w:kern w:val="0"/>
                      <w:sz w:val="18"/>
                      <w:szCs w:val="18"/>
                    </w:rPr>
                    <w:t xml:space="preserve"> </w:t>
                  </w:r>
                </w:p>
              </w:tc>
              <w:tc>
                <w:tcPr>
                  <w:tcW w:w="72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金额</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（元）</w:t>
                  </w:r>
                  <w:r w:rsidRPr="007150E7">
                    <w:rPr>
                      <w:rFonts w:ascii="宋体" w:eastAsia="宋体" w:hAnsi="宋体" w:cs="宋体" w:hint="eastAsia"/>
                      <w:kern w:val="0"/>
                      <w:sz w:val="18"/>
                      <w:szCs w:val="18"/>
                    </w:rPr>
                    <w:t xml:space="preserve"> </w:t>
                  </w:r>
                </w:p>
              </w:tc>
            </w:tr>
            <w:tr w:rsidR="007150E7" w:rsidRPr="007150E7" w:rsidTr="007150E7">
              <w:trPr>
                <w:tblCellSpacing w:w="15" w:type="dxa"/>
              </w:trPr>
              <w:tc>
                <w:tcPr>
                  <w:tcW w:w="114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普通本科</w:t>
                  </w:r>
                  <w:r w:rsidRPr="007150E7">
                    <w:rPr>
                      <w:rFonts w:ascii="宋体" w:eastAsia="宋体" w:hAnsi="宋体" w:cs="宋体" w:hint="eastAsia"/>
                      <w:kern w:val="0"/>
                      <w:sz w:val="18"/>
                      <w:szCs w:val="18"/>
                    </w:rPr>
                    <w:t xml:space="preserve"> </w:t>
                  </w:r>
                </w:p>
              </w:tc>
              <w:tc>
                <w:tcPr>
                  <w:tcW w:w="1035"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1</w:t>
                  </w:r>
                  <w:r w:rsidRPr="007150E7">
                    <w:rPr>
                      <w:rFonts w:ascii="仿宋_GB2312" w:eastAsia="仿宋_GB2312" w:hAnsi="宋体" w:cs="宋体" w:hint="eastAsia"/>
                      <w:kern w:val="0"/>
                      <w:sz w:val="32"/>
                      <w:szCs w:val="32"/>
                    </w:rPr>
                    <w:t>≥</w:t>
                  </w:r>
                  <w:r w:rsidRPr="007150E7">
                    <w:rPr>
                      <w:rFonts w:ascii="仿宋_GB2312" w:eastAsia="仿宋_GB2312" w:hAnsi="宋体" w:cs="宋体" w:hint="eastAsia"/>
                      <w:kern w:val="0"/>
                      <w:szCs w:val="21"/>
                    </w:rPr>
                    <w:t>60</w:t>
                  </w:r>
                  <w:r w:rsidRPr="007150E7">
                    <w:rPr>
                      <w:rFonts w:ascii="宋体" w:eastAsia="宋体" w:hAnsi="宋体" w:cs="宋体" w:hint="eastAsia"/>
                      <w:kern w:val="0"/>
                      <w:sz w:val="18"/>
                      <w:szCs w:val="18"/>
                    </w:rPr>
                    <w:t xml:space="preserve"> </w:t>
                  </w:r>
                </w:p>
              </w:tc>
              <w:tc>
                <w:tcPr>
                  <w:tcW w:w="84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5000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50≤R</w:t>
                  </w:r>
                  <w:r w:rsidRPr="007150E7">
                    <w:rPr>
                      <w:rFonts w:ascii="仿宋_GB2312" w:eastAsia="仿宋_GB2312" w:hAnsi="宋体" w:cs="宋体" w:hint="eastAsia"/>
                      <w:kern w:val="0"/>
                      <w:szCs w:val="21"/>
                      <w:vertAlign w:val="subscript"/>
                    </w:rPr>
                    <w:t>1</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＜60</w:t>
                  </w:r>
                  <w:r w:rsidRPr="007150E7">
                    <w:rPr>
                      <w:rFonts w:ascii="宋体" w:eastAsia="宋体" w:hAnsi="宋体" w:cs="宋体" w:hint="eastAsia"/>
                      <w:kern w:val="0"/>
                      <w:sz w:val="18"/>
                      <w:szCs w:val="18"/>
                    </w:rPr>
                    <w:t xml:space="preserve"> </w:t>
                  </w:r>
                </w:p>
              </w:tc>
              <w:tc>
                <w:tcPr>
                  <w:tcW w:w="114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4000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40≤R</w:t>
                  </w:r>
                  <w:r w:rsidRPr="007150E7">
                    <w:rPr>
                      <w:rFonts w:ascii="仿宋_GB2312" w:eastAsia="仿宋_GB2312" w:hAnsi="宋体" w:cs="宋体" w:hint="eastAsia"/>
                      <w:kern w:val="0"/>
                      <w:szCs w:val="21"/>
                      <w:vertAlign w:val="subscript"/>
                    </w:rPr>
                    <w:t>1</w:t>
                  </w:r>
                  <w:r w:rsidRPr="007150E7">
                    <w:rPr>
                      <w:rFonts w:ascii="仿宋_GB2312" w:eastAsia="仿宋_GB2312" w:hAnsi="宋体" w:cs="宋体" w:hint="eastAsia"/>
                      <w:kern w:val="0"/>
                      <w:szCs w:val="21"/>
                    </w:rPr>
                    <w:t>＜50</w:t>
                  </w:r>
                  <w:r w:rsidRPr="007150E7">
                    <w:rPr>
                      <w:rFonts w:ascii="宋体" w:eastAsia="宋体" w:hAnsi="宋体" w:cs="宋体" w:hint="eastAsia"/>
                      <w:kern w:val="0"/>
                      <w:sz w:val="18"/>
                      <w:szCs w:val="18"/>
                    </w:rPr>
                    <w:t xml:space="preserve"> </w:t>
                  </w:r>
                </w:p>
              </w:tc>
              <w:tc>
                <w:tcPr>
                  <w:tcW w:w="1125"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3000</w:t>
                  </w:r>
                  <w:r w:rsidRPr="007150E7">
                    <w:rPr>
                      <w:rFonts w:ascii="宋体" w:eastAsia="宋体" w:hAnsi="宋体" w:cs="宋体" w:hint="eastAsia"/>
                      <w:kern w:val="0"/>
                      <w:sz w:val="18"/>
                      <w:szCs w:val="18"/>
                    </w:rPr>
                    <w:t xml:space="preserve"> </w:t>
                  </w:r>
                </w:p>
              </w:tc>
              <w:tc>
                <w:tcPr>
                  <w:tcW w:w="108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30≤R</w:t>
                  </w:r>
                  <w:r w:rsidRPr="007150E7">
                    <w:rPr>
                      <w:rFonts w:ascii="仿宋_GB2312" w:eastAsia="仿宋_GB2312" w:hAnsi="宋体" w:cs="宋体" w:hint="eastAsia"/>
                      <w:kern w:val="0"/>
                      <w:szCs w:val="21"/>
                      <w:vertAlign w:val="subscript"/>
                    </w:rPr>
                    <w:t>1</w:t>
                  </w:r>
                  <w:r w:rsidRPr="007150E7">
                    <w:rPr>
                      <w:rFonts w:ascii="仿宋_GB2312" w:eastAsia="仿宋_GB2312" w:hAnsi="宋体" w:cs="宋体" w:hint="eastAsia"/>
                      <w:kern w:val="0"/>
                      <w:szCs w:val="21"/>
                    </w:rPr>
                    <w:t>＜40</w:t>
                  </w:r>
                  <w:r w:rsidRPr="007150E7">
                    <w:rPr>
                      <w:rFonts w:ascii="宋体" w:eastAsia="宋体" w:hAnsi="宋体" w:cs="宋体" w:hint="eastAsia"/>
                      <w:kern w:val="0"/>
                      <w:sz w:val="18"/>
                      <w:szCs w:val="18"/>
                    </w:rPr>
                    <w:t xml:space="preserve"> </w:t>
                  </w:r>
                </w:p>
              </w:tc>
              <w:tc>
                <w:tcPr>
                  <w:tcW w:w="72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1000</w:t>
                  </w:r>
                  <w:r w:rsidRPr="007150E7">
                    <w:rPr>
                      <w:rFonts w:ascii="宋体" w:eastAsia="宋体" w:hAnsi="宋体" w:cs="宋体" w:hint="eastAsia"/>
                      <w:kern w:val="0"/>
                      <w:sz w:val="18"/>
                      <w:szCs w:val="18"/>
                    </w:rPr>
                    <w:t xml:space="preserve"> </w:t>
                  </w:r>
                </w:p>
              </w:tc>
            </w:tr>
            <w:tr w:rsidR="007150E7" w:rsidRPr="007150E7" w:rsidTr="007150E7">
              <w:trPr>
                <w:tblCellSpacing w:w="15" w:type="dxa"/>
              </w:trPr>
              <w:tc>
                <w:tcPr>
                  <w:tcW w:w="114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对口、接本、艺术、体育</w:t>
                  </w:r>
                  <w:r w:rsidRPr="007150E7">
                    <w:rPr>
                      <w:rFonts w:ascii="宋体" w:eastAsia="宋体" w:hAnsi="宋体" w:cs="宋体" w:hint="eastAsia"/>
                      <w:kern w:val="0"/>
                      <w:sz w:val="18"/>
                      <w:szCs w:val="18"/>
                    </w:rPr>
                    <w:t xml:space="preserve"> </w:t>
                  </w:r>
                </w:p>
              </w:tc>
              <w:tc>
                <w:tcPr>
                  <w:tcW w:w="1035"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1</w:t>
                  </w:r>
                  <w:r w:rsidRPr="007150E7">
                    <w:rPr>
                      <w:rFonts w:ascii="仿宋_GB2312" w:eastAsia="仿宋_GB2312" w:hAnsi="宋体" w:cs="宋体" w:hint="eastAsia"/>
                      <w:kern w:val="0"/>
                      <w:sz w:val="32"/>
                      <w:szCs w:val="32"/>
                    </w:rPr>
                    <w:t>≥</w:t>
                  </w:r>
                  <w:r w:rsidRPr="007150E7">
                    <w:rPr>
                      <w:rFonts w:ascii="仿宋_GB2312" w:eastAsia="仿宋_GB2312" w:hAnsi="宋体" w:cs="宋体" w:hint="eastAsia"/>
                      <w:kern w:val="0"/>
                      <w:szCs w:val="21"/>
                    </w:rPr>
                    <w:t>50</w:t>
                  </w:r>
                  <w:r w:rsidRPr="007150E7">
                    <w:rPr>
                      <w:rFonts w:ascii="宋体" w:eastAsia="宋体" w:hAnsi="宋体" w:cs="宋体" w:hint="eastAsia"/>
                      <w:kern w:val="0"/>
                      <w:sz w:val="18"/>
                      <w:szCs w:val="18"/>
                    </w:rPr>
                    <w:t xml:space="preserve"> </w:t>
                  </w:r>
                </w:p>
              </w:tc>
              <w:tc>
                <w:tcPr>
                  <w:tcW w:w="84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3000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40≤R</w:t>
                  </w:r>
                  <w:r w:rsidRPr="007150E7">
                    <w:rPr>
                      <w:rFonts w:ascii="仿宋_GB2312" w:eastAsia="仿宋_GB2312" w:hAnsi="宋体" w:cs="宋体" w:hint="eastAsia"/>
                      <w:kern w:val="0"/>
                      <w:szCs w:val="21"/>
                      <w:vertAlign w:val="subscript"/>
                    </w:rPr>
                    <w:t>1</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＜50</w:t>
                  </w:r>
                  <w:r w:rsidRPr="007150E7">
                    <w:rPr>
                      <w:rFonts w:ascii="宋体" w:eastAsia="宋体" w:hAnsi="宋体" w:cs="宋体" w:hint="eastAsia"/>
                      <w:kern w:val="0"/>
                      <w:sz w:val="18"/>
                      <w:szCs w:val="18"/>
                    </w:rPr>
                    <w:t xml:space="preserve"> </w:t>
                  </w:r>
                </w:p>
              </w:tc>
              <w:tc>
                <w:tcPr>
                  <w:tcW w:w="114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2000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30≤R</w:t>
                  </w:r>
                  <w:r w:rsidRPr="007150E7">
                    <w:rPr>
                      <w:rFonts w:ascii="仿宋_GB2312" w:eastAsia="仿宋_GB2312" w:hAnsi="宋体" w:cs="宋体" w:hint="eastAsia"/>
                      <w:kern w:val="0"/>
                      <w:szCs w:val="21"/>
                      <w:vertAlign w:val="subscript"/>
                    </w:rPr>
                    <w:t>1</w:t>
                  </w:r>
                  <w:r w:rsidRPr="007150E7">
                    <w:rPr>
                      <w:rFonts w:ascii="仿宋_GB2312" w:eastAsia="仿宋_GB2312" w:hAnsi="宋体" w:cs="宋体" w:hint="eastAsia"/>
                      <w:kern w:val="0"/>
                      <w:szCs w:val="21"/>
                    </w:rPr>
                    <w:t>＜40</w:t>
                  </w:r>
                  <w:r w:rsidRPr="007150E7">
                    <w:rPr>
                      <w:rFonts w:ascii="宋体" w:eastAsia="宋体" w:hAnsi="宋体" w:cs="宋体" w:hint="eastAsia"/>
                      <w:kern w:val="0"/>
                      <w:sz w:val="18"/>
                      <w:szCs w:val="18"/>
                    </w:rPr>
                    <w:t xml:space="preserve"> </w:t>
                  </w:r>
                </w:p>
              </w:tc>
              <w:tc>
                <w:tcPr>
                  <w:tcW w:w="1125"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1000</w:t>
                  </w:r>
                  <w:r w:rsidRPr="007150E7">
                    <w:rPr>
                      <w:rFonts w:ascii="宋体" w:eastAsia="宋体" w:hAnsi="宋体" w:cs="宋体" w:hint="eastAsia"/>
                      <w:kern w:val="0"/>
                      <w:sz w:val="18"/>
                      <w:szCs w:val="18"/>
                    </w:rPr>
                    <w:t xml:space="preserve"> </w:t>
                  </w:r>
                </w:p>
              </w:tc>
              <w:tc>
                <w:tcPr>
                  <w:tcW w:w="108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20≤R</w:t>
                  </w:r>
                  <w:r w:rsidRPr="007150E7">
                    <w:rPr>
                      <w:rFonts w:ascii="仿宋_GB2312" w:eastAsia="仿宋_GB2312" w:hAnsi="宋体" w:cs="宋体" w:hint="eastAsia"/>
                      <w:kern w:val="0"/>
                      <w:szCs w:val="21"/>
                      <w:vertAlign w:val="subscript"/>
                    </w:rPr>
                    <w:t>1</w:t>
                  </w:r>
                  <w:r w:rsidRPr="007150E7">
                    <w:rPr>
                      <w:rFonts w:ascii="仿宋_GB2312" w:eastAsia="仿宋_GB2312" w:hAnsi="宋体" w:cs="宋体" w:hint="eastAsia"/>
                      <w:kern w:val="0"/>
                      <w:szCs w:val="21"/>
                    </w:rPr>
                    <w:t>＜30</w:t>
                  </w:r>
                  <w:r w:rsidRPr="007150E7">
                    <w:rPr>
                      <w:rFonts w:ascii="宋体" w:eastAsia="宋体" w:hAnsi="宋体" w:cs="宋体" w:hint="eastAsia"/>
                      <w:kern w:val="0"/>
                      <w:sz w:val="18"/>
                      <w:szCs w:val="18"/>
                    </w:rPr>
                    <w:t xml:space="preserve"> </w:t>
                  </w:r>
                </w:p>
              </w:tc>
              <w:tc>
                <w:tcPr>
                  <w:tcW w:w="720" w:type="dxa"/>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500</w:t>
                  </w:r>
                  <w:r w:rsidRPr="007150E7">
                    <w:rPr>
                      <w:rFonts w:ascii="宋体" w:eastAsia="宋体" w:hAnsi="宋体" w:cs="宋体" w:hint="eastAsia"/>
                      <w:kern w:val="0"/>
                      <w:sz w:val="18"/>
                      <w:szCs w:val="18"/>
                    </w:rPr>
                    <w:t xml:space="preserve"> </w:t>
                  </w:r>
                </w:p>
              </w:tc>
            </w:tr>
          </w:tbl>
          <w:p w:rsidR="007150E7" w:rsidRPr="007150E7" w:rsidRDefault="007150E7" w:rsidP="007150E7">
            <w:pPr>
              <w:widowControl/>
              <w:wordWrap w:val="0"/>
              <w:spacing w:before="100" w:beforeAutospacing="1" w:after="100" w:afterAutospacing="1"/>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w:t>
            </w:r>
          </w:p>
          <w:p w:rsidR="007150E7" w:rsidRPr="007150E7" w:rsidRDefault="007150E7" w:rsidP="007150E7">
            <w:pPr>
              <w:widowControl/>
              <w:wordWrap w:val="0"/>
              <w:spacing w:before="100" w:beforeAutospacing="1" w:after="100" w:afterAutospacing="1"/>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    2.考取率奖励标准                         单位：元</w:t>
            </w:r>
          </w:p>
          <w:tbl>
            <w:tblPr>
              <w:tblW w:w="9108" w:type="dxa"/>
              <w:tblCellSpacing w:w="15" w:type="dxa"/>
              <w:tblCellMar>
                <w:top w:w="15" w:type="dxa"/>
                <w:left w:w="15" w:type="dxa"/>
                <w:bottom w:w="15" w:type="dxa"/>
                <w:right w:w="15" w:type="dxa"/>
              </w:tblCellMar>
              <w:tblLook w:val="04A0" w:firstRow="1" w:lastRow="0" w:firstColumn="1" w:lastColumn="0" w:noHBand="0" w:noVBand="1"/>
            </w:tblPr>
            <w:tblGrid>
              <w:gridCol w:w="1151"/>
              <w:gridCol w:w="995"/>
              <w:gridCol w:w="1001"/>
              <w:gridCol w:w="983"/>
              <w:gridCol w:w="995"/>
              <w:gridCol w:w="983"/>
              <w:gridCol w:w="1001"/>
              <w:gridCol w:w="983"/>
              <w:gridCol w:w="1016"/>
            </w:tblGrid>
            <w:tr w:rsidR="007150E7" w:rsidRPr="007150E7" w:rsidTr="007150E7">
              <w:trPr>
                <w:tblCellSpacing w:w="15" w:type="dxa"/>
              </w:trPr>
              <w:tc>
                <w:tcPr>
                  <w:tcW w:w="1140" w:type="dxa"/>
                  <w:vMerge w:val="restart"/>
                  <w:tcBorders>
                    <w:top w:val="single" w:sz="4" w:space="0" w:color="auto"/>
                    <w:left w:val="single" w:sz="4" w:space="0" w:color="auto"/>
                    <w:bottom w:val="single" w:sz="4" w:space="0" w:color="auto"/>
                    <w:right w:val="single" w:sz="4" w:space="0" w:color="auto"/>
                  </w:tcBorders>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 w:val="18"/>
                      <w:szCs w:val="18"/>
                    </w:rPr>
                    <w:t>  </w:t>
                  </w:r>
                  <w:r w:rsidRPr="007150E7">
                    <w:rPr>
                      <w:rFonts w:ascii="仿宋_GB2312" w:eastAsia="仿宋_GB2312" w:hAnsi="宋体" w:cs="宋体" w:hint="eastAsia"/>
                      <w:kern w:val="0"/>
                      <w:sz w:val="18"/>
                      <w:szCs w:val="18"/>
                    </w:rPr>
                    <w:t>类别标准</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 w:val="18"/>
                      <w:szCs w:val="18"/>
                    </w:rPr>
                    <w:t>比例</w:t>
                  </w:r>
                  <w:r w:rsidRPr="007150E7">
                    <w:rPr>
                      <w:rFonts w:ascii="宋体" w:eastAsia="宋体" w:hAnsi="宋体" w:cs="宋体" w:hint="eastAsia"/>
                      <w:kern w:val="0"/>
                      <w:sz w:val="18"/>
                      <w:szCs w:val="18"/>
                    </w:rPr>
                    <w:t xml:space="preserve"> </w:t>
                  </w:r>
                </w:p>
              </w:tc>
              <w:tc>
                <w:tcPr>
                  <w:tcW w:w="3975" w:type="dxa"/>
                  <w:gridSpan w:val="4"/>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普通本科</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备注</w:t>
                  </w:r>
                  <w:r w:rsidRPr="007150E7">
                    <w:rPr>
                      <w:rFonts w:ascii="宋体" w:eastAsia="宋体" w:hAnsi="宋体" w:cs="宋体" w:hint="eastAsia"/>
                      <w:kern w:val="0"/>
                      <w:sz w:val="18"/>
                      <w:szCs w:val="18"/>
                    </w:rPr>
                    <w:t xml:space="preserve"> </w:t>
                  </w:r>
                </w:p>
              </w:tc>
              <w:tc>
                <w:tcPr>
                  <w:tcW w:w="3975" w:type="dxa"/>
                  <w:gridSpan w:val="4"/>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对口、接本、艺术、体育</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备注</w:t>
                  </w:r>
                  <w:r w:rsidRPr="007150E7">
                    <w:rPr>
                      <w:rFonts w:ascii="宋体" w:eastAsia="宋体" w:hAnsi="宋体" w:cs="宋体" w:hint="eastAsia"/>
                      <w:kern w:val="0"/>
                      <w:sz w:val="18"/>
                      <w:szCs w:val="18"/>
                    </w:rPr>
                    <w:t xml:space="preserve"> </w:t>
                  </w:r>
                </w:p>
              </w:tc>
            </w:tr>
            <w:tr w:rsidR="007150E7" w:rsidRPr="007150E7" w:rsidTr="007150E7">
              <w:trPr>
                <w:tblCellSpacing w:w="15"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jc w:val="left"/>
                    <w:rPr>
                      <w:rFonts w:ascii="宋体" w:eastAsia="宋体" w:hAnsi="宋体" w:cs="宋体"/>
                      <w:kern w:val="0"/>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金额</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（元）</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金额</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金额</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 </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 </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金额</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（元）</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 </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金额</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（元）</w:t>
                  </w:r>
                  <w:r w:rsidRPr="007150E7">
                    <w:rPr>
                      <w:rFonts w:ascii="宋体" w:eastAsia="宋体" w:hAnsi="宋体" w:cs="宋体" w:hint="eastAsia"/>
                      <w:kern w:val="0"/>
                      <w:sz w:val="18"/>
                      <w:szCs w:val="18"/>
                    </w:rPr>
                    <w:t xml:space="preserve"> </w:t>
                  </w:r>
                </w:p>
              </w:tc>
            </w:tr>
            <w:tr w:rsidR="007150E7" w:rsidRPr="007150E7" w:rsidTr="007150E7">
              <w:trPr>
                <w:tblCellSpacing w:w="15" w:type="dxa"/>
              </w:trPr>
              <w:tc>
                <w:tcPr>
                  <w:tcW w:w="1140" w:type="dxa"/>
                  <w:vMerge w:val="restart"/>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比率</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仿宋_GB2312" w:eastAsia="仿宋_GB2312" w:hAnsi="宋体" w:cs="宋体" w:hint="eastAsia"/>
                      <w:kern w:val="0"/>
                      <w:sz w:val="32"/>
                      <w:szCs w:val="32"/>
                    </w:rPr>
                    <w:t>＝</w:t>
                  </w: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3</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10000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仿宋_GB2312" w:eastAsia="仿宋_GB2312" w:hAnsi="宋体" w:cs="宋体" w:hint="eastAsia"/>
                      <w:kern w:val="0"/>
                      <w:sz w:val="32"/>
                      <w:szCs w:val="32"/>
                    </w:rPr>
                    <w:t>＝</w:t>
                  </w:r>
                  <w:r w:rsidRPr="007150E7">
                    <w:rPr>
                      <w:rFonts w:ascii="仿宋_GB2312" w:eastAsia="仿宋_GB2312" w:hAnsi="宋体" w:cs="宋体" w:hint="eastAsia"/>
                      <w:kern w:val="0"/>
                      <w:szCs w:val="21"/>
                    </w:rPr>
                    <w:t>50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20000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仿宋_GB2312" w:eastAsia="仿宋_GB2312" w:hAnsi="宋体" w:cs="宋体" w:hint="eastAsia"/>
                      <w:kern w:val="0"/>
                      <w:sz w:val="32"/>
                      <w:szCs w:val="32"/>
                    </w:rPr>
                    <w:t>＝</w:t>
                  </w: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3</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10000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仿宋_GB2312" w:eastAsia="仿宋_GB2312" w:hAnsi="宋体" w:cs="宋体" w:hint="eastAsia"/>
                      <w:kern w:val="0"/>
                      <w:sz w:val="32"/>
                      <w:szCs w:val="32"/>
                    </w:rPr>
                    <w:t>＝</w:t>
                  </w:r>
                  <w:r w:rsidRPr="007150E7">
                    <w:rPr>
                      <w:rFonts w:ascii="仿宋_GB2312" w:eastAsia="仿宋_GB2312" w:hAnsi="宋体" w:cs="宋体" w:hint="eastAsia"/>
                      <w:kern w:val="0"/>
                      <w:szCs w:val="21"/>
                    </w:rPr>
                    <w:t>30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15000</w:t>
                  </w:r>
                  <w:r w:rsidRPr="007150E7">
                    <w:rPr>
                      <w:rFonts w:ascii="宋体" w:eastAsia="宋体" w:hAnsi="宋体" w:cs="宋体" w:hint="eastAsia"/>
                      <w:kern w:val="0"/>
                      <w:sz w:val="18"/>
                      <w:szCs w:val="18"/>
                    </w:rPr>
                    <w:t xml:space="preserve"> </w:t>
                  </w:r>
                </w:p>
              </w:tc>
            </w:tr>
            <w:tr w:rsidR="007150E7" w:rsidRPr="007150E7" w:rsidTr="007150E7">
              <w:trPr>
                <w:tblCellSpacing w:w="15"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jc w:val="left"/>
                    <w:rPr>
                      <w:rFonts w:ascii="宋体" w:eastAsia="宋体" w:hAnsi="宋体" w:cs="宋体"/>
                      <w:kern w:val="0"/>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3</w:t>
                  </w: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仿宋_GB2312" w:eastAsia="仿宋_GB2312" w:hAnsi="宋体" w:cs="宋体" w:hint="eastAsia"/>
                      <w:kern w:val="0"/>
                      <w:szCs w:val="21"/>
                    </w:rPr>
                    <w:t>＜50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每超过1个人增加300元</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仿宋_GB2312" w:eastAsia="仿宋_GB2312" w:hAnsi="宋体" w:cs="宋体" w:hint="eastAsia"/>
                      <w:kern w:val="0"/>
                      <w:szCs w:val="21"/>
                    </w:rPr>
                    <w:t>＞50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每超过1个人增加500元</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3</w:t>
                  </w: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＜30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每超过1个人增加300元</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R</w:t>
                  </w:r>
                  <w:r w:rsidRPr="007150E7">
                    <w:rPr>
                      <w:rFonts w:ascii="仿宋_GB2312" w:eastAsia="仿宋_GB2312" w:hAnsi="宋体" w:cs="宋体" w:hint="eastAsia"/>
                      <w:kern w:val="0"/>
                      <w:szCs w:val="21"/>
                      <w:vertAlign w:val="subscript"/>
                    </w:rPr>
                    <w:t>2</w:t>
                  </w:r>
                  <w:r w:rsidRPr="007150E7">
                    <w:rPr>
                      <w:rFonts w:ascii="仿宋_GB2312" w:eastAsia="仿宋_GB2312" w:hAnsi="宋体" w:cs="宋体" w:hint="eastAsia"/>
                      <w:kern w:val="0"/>
                      <w:szCs w:val="21"/>
                    </w:rPr>
                    <w:t>＞30</w:t>
                  </w:r>
                  <w:r w:rsidRPr="007150E7">
                    <w:rPr>
                      <w:rFonts w:ascii="宋体" w:eastAsia="宋体" w:hAnsi="宋体" w:cs="宋体" w:hint="eastAsia"/>
                      <w:kern w:val="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每超过1个人增加500元</w:t>
                  </w:r>
                  <w:r w:rsidRPr="007150E7">
                    <w:rPr>
                      <w:rFonts w:ascii="宋体" w:eastAsia="宋体" w:hAnsi="宋体" w:cs="宋体" w:hint="eastAsia"/>
                      <w:kern w:val="0"/>
                      <w:sz w:val="18"/>
                      <w:szCs w:val="18"/>
                    </w:rPr>
                    <w:t xml:space="preserve"> </w:t>
                  </w:r>
                </w:p>
              </w:tc>
            </w:tr>
            <w:tr w:rsidR="007150E7" w:rsidRPr="007150E7" w:rsidTr="007150E7">
              <w:trPr>
                <w:tblCellSpacing w:w="15" w:type="dxa"/>
              </w:trPr>
              <w:tc>
                <w:tcPr>
                  <w:tcW w:w="1140" w:type="dxa"/>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center"/>
                    <w:rPr>
                      <w:rFonts w:ascii="宋体" w:eastAsia="宋体" w:hAnsi="宋体" w:cs="宋体" w:hint="eastAsia"/>
                      <w:kern w:val="0"/>
                      <w:sz w:val="18"/>
                      <w:szCs w:val="18"/>
                    </w:rPr>
                  </w:pPr>
                  <w:r w:rsidRPr="007150E7">
                    <w:rPr>
                      <w:rFonts w:ascii="仿宋_GB2312" w:eastAsia="仿宋_GB2312" w:hAnsi="宋体" w:cs="宋体" w:hint="eastAsia"/>
                      <w:kern w:val="0"/>
                      <w:szCs w:val="21"/>
                    </w:rPr>
                    <w:t>备注</w:t>
                  </w:r>
                  <w:r w:rsidRPr="007150E7">
                    <w:rPr>
                      <w:rFonts w:ascii="宋体" w:eastAsia="宋体" w:hAnsi="宋体" w:cs="宋体" w:hint="eastAsia"/>
                      <w:kern w:val="0"/>
                      <w:sz w:val="18"/>
                      <w:szCs w:val="18"/>
                    </w:rPr>
                    <w:t xml:space="preserve"> </w:t>
                  </w:r>
                </w:p>
              </w:tc>
              <w:tc>
                <w:tcPr>
                  <w:tcW w:w="7950" w:type="dxa"/>
                  <w:gridSpan w:val="8"/>
                  <w:tcBorders>
                    <w:top w:val="single" w:sz="4" w:space="0" w:color="auto"/>
                    <w:left w:val="single" w:sz="4" w:space="0" w:color="auto"/>
                    <w:bottom w:val="single" w:sz="4" w:space="0" w:color="auto"/>
                    <w:right w:val="single" w:sz="4" w:space="0" w:color="auto"/>
                  </w:tcBorders>
                  <w:vAlign w:val="center"/>
                  <w:hideMark/>
                </w:tcPr>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1.对达不到R</w:t>
                  </w:r>
                  <w:r w:rsidRPr="007150E7">
                    <w:rPr>
                      <w:rFonts w:ascii="仿宋_GB2312" w:eastAsia="仿宋_GB2312" w:hAnsi="宋体" w:cs="宋体" w:hint="eastAsia"/>
                      <w:kern w:val="0"/>
                      <w:szCs w:val="21"/>
                      <w:vertAlign w:val="subscript"/>
                    </w:rPr>
                    <w:t>3</w:t>
                  </w:r>
                  <w:r w:rsidRPr="007150E7">
                    <w:rPr>
                      <w:rFonts w:ascii="仿宋_GB2312" w:eastAsia="仿宋_GB2312" w:hAnsi="宋体" w:cs="宋体" w:hint="eastAsia"/>
                      <w:kern w:val="0"/>
                      <w:szCs w:val="21"/>
                    </w:rPr>
                    <w:t>的院、系，按本专业学生考取研究生人数计算，奖励标准为：实际录取人数（人）×400元/人，被普通本科院校录取的学生的奖励从此项中列支，上限8000元。</w:t>
                  </w:r>
                  <w:r w:rsidRPr="007150E7">
                    <w:rPr>
                      <w:rFonts w:ascii="宋体" w:eastAsia="宋体" w:hAnsi="宋体" w:cs="宋体" w:hint="eastAsia"/>
                      <w:kern w:val="0"/>
                      <w:sz w:val="18"/>
                      <w:szCs w:val="18"/>
                    </w:rPr>
                    <w:t xml:space="preserve"> </w:t>
                  </w:r>
                </w:p>
                <w:p w:rsidR="007150E7" w:rsidRPr="007150E7" w:rsidRDefault="007150E7" w:rsidP="007150E7">
                  <w:pPr>
                    <w:widowControl/>
                    <w:spacing w:before="100" w:beforeAutospacing="1" w:after="100" w:afterAutospacing="1"/>
                    <w:jc w:val="left"/>
                    <w:rPr>
                      <w:rFonts w:ascii="宋体" w:eastAsia="宋体" w:hAnsi="宋体" w:cs="宋体" w:hint="eastAsia"/>
                      <w:kern w:val="0"/>
                      <w:sz w:val="18"/>
                      <w:szCs w:val="18"/>
                    </w:rPr>
                  </w:pPr>
                  <w:r w:rsidRPr="007150E7">
                    <w:rPr>
                      <w:rFonts w:ascii="仿宋_GB2312" w:eastAsia="仿宋_GB2312" w:hAnsi="宋体" w:cs="宋体" w:hint="eastAsia"/>
                      <w:kern w:val="0"/>
                      <w:szCs w:val="21"/>
                    </w:rPr>
                    <w:t>2.对考取国家公务员、基层选调生、国外研究生等的同学视为考研录取。</w:t>
                  </w:r>
                  <w:r w:rsidRPr="007150E7">
                    <w:rPr>
                      <w:rFonts w:ascii="宋体" w:eastAsia="宋体" w:hAnsi="宋体" w:cs="宋体" w:hint="eastAsia"/>
                      <w:kern w:val="0"/>
                      <w:sz w:val="18"/>
                      <w:szCs w:val="18"/>
                    </w:rPr>
                    <w:t xml:space="preserve"> </w:t>
                  </w:r>
                </w:p>
              </w:tc>
            </w:tr>
          </w:tbl>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lastRenderedPageBreak/>
              <w:t>（三）进步奖励</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1.专业考研进步奖。以专业为单位进行统计，某专业当年考研录取率在全校本科专业排名中，每上升一个名次奖励500元。</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2.院（系）考研进步奖。以院（系）为单位统计，院（系）当年考研录取率在全校院（系）排名中，每上升一个名次奖励1000元。</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六、奖励程序</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1.各院（系）相关负责人当年报名现场确认一周内将本单位学生报考和在次年6月考取研究生情况及佐证材料，经本部门审核汇总后报送教务处。</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2.教务处将当年全校学生报考和考研情况审核公示后予以奖励。</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3.各院系按学校有关程序办理手续，领取相应奖励。</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七、奖金分配方案</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奖励经费经教务处核实后，按照专款专用原则，由院（系）统筹使用。具体发放办法由获奖单位研究制定细则并报教务处备案后予以分配。凡弄虚作假者，一经查实，除追回所发奖金外，学校还将按照有关规定严肃处理单位负责人和当事责任人。</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八、奖励经费来源 </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从教学经费中列支专项基金。</w:t>
            </w:r>
          </w:p>
          <w:p w:rsidR="007150E7" w:rsidRPr="007150E7" w:rsidRDefault="007150E7" w:rsidP="007150E7">
            <w:pPr>
              <w:widowControl/>
              <w:wordWrap w:val="0"/>
              <w:spacing w:before="100" w:beforeAutospacing="1" w:after="100" w:afterAutospacing="1"/>
              <w:ind w:firstLine="640"/>
              <w:jc w:val="left"/>
              <w:rPr>
                <w:rFonts w:ascii="宋体" w:eastAsia="宋体" w:hAnsi="宋体" w:cs="宋体" w:hint="eastAsia"/>
                <w:kern w:val="0"/>
                <w:sz w:val="18"/>
                <w:szCs w:val="18"/>
              </w:rPr>
            </w:pPr>
            <w:r w:rsidRPr="007150E7">
              <w:rPr>
                <w:rFonts w:ascii="宋体" w:eastAsia="宋体" w:hAnsi="宋体" w:cs="宋体" w:hint="eastAsia"/>
                <w:kern w:val="0"/>
                <w:sz w:val="18"/>
                <w:szCs w:val="18"/>
              </w:rPr>
              <w:t>九、本办法自2016年1月1日起执行，由教务处负责解释；学校原有关于大学生考研奖励的相关文件同时废止。</w:t>
            </w:r>
          </w:p>
        </w:tc>
      </w:tr>
    </w:tbl>
    <w:p w:rsidR="00DB057C" w:rsidRPr="007150E7" w:rsidRDefault="00DB057C">
      <w:pPr>
        <w:rPr>
          <w:rFonts w:hint="eastAsia"/>
        </w:rPr>
      </w:pPr>
    </w:p>
    <w:sectPr w:rsidR="00DB057C" w:rsidRPr="007150E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仿宋_GB2312">
    <w:altName w:val="仿宋"/>
    <w:panose1 w:val="00000000000000000000"/>
    <w:charset w:val="86"/>
    <w:family w:val="roman"/>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C33"/>
    <w:rsid w:val="007150E7"/>
    <w:rsid w:val="00910C33"/>
    <w:rsid w:val="00DB0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053117-3FD6-4979-B0E2-23E4A8A4E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750689">
      <w:bodyDiv w:val="1"/>
      <w:marLeft w:val="0"/>
      <w:marRight w:val="0"/>
      <w:marTop w:val="0"/>
      <w:marBottom w:val="0"/>
      <w:divBdr>
        <w:top w:val="none" w:sz="0" w:space="0" w:color="auto"/>
        <w:left w:val="none" w:sz="0" w:space="0" w:color="auto"/>
        <w:bottom w:val="none" w:sz="0" w:space="0" w:color="auto"/>
        <w:right w:val="none" w:sz="0" w:space="0" w:color="auto"/>
      </w:divBdr>
      <w:divsChild>
        <w:div w:id="710227013">
          <w:marLeft w:val="0"/>
          <w:marRight w:val="0"/>
          <w:marTop w:val="300"/>
          <w:marBottom w:val="150"/>
          <w:divBdr>
            <w:top w:val="none" w:sz="0" w:space="0" w:color="auto"/>
            <w:left w:val="none" w:sz="0" w:space="0" w:color="auto"/>
            <w:bottom w:val="none" w:sz="0" w:space="0" w:color="auto"/>
            <w:right w:val="none" w:sz="0" w:space="0" w:color="auto"/>
          </w:divBdr>
        </w:div>
        <w:div w:id="143086995">
          <w:marLeft w:val="0"/>
          <w:marRight w:val="0"/>
          <w:marTop w:val="300"/>
          <w:marBottom w:val="0"/>
          <w:divBdr>
            <w:top w:val="none" w:sz="0" w:space="0" w:color="auto"/>
            <w:left w:val="none" w:sz="0" w:space="0" w:color="auto"/>
            <w:bottom w:val="none" w:sz="0" w:space="0" w:color="auto"/>
            <w:right w:val="none" w:sz="0" w:space="0" w:color="auto"/>
          </w:divBdr>
          <w:divsChild>
            <w:div w:id="111648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422</Words>
  <Characters>2409</Characters>
  <Application>Microsoft Office Word</Application>
  <DocSecurity>0</DocSecurity>
  <Lines>20</Lines>
  <Paragraphs>5</Paragraphs>
  <ScaleCrop>false</ScaleCrop>
  <Company>微软中国</Company>
  <LinksUpToDate>false</LinksUpToDate>
  <CharactersWithSpaces>2826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2016-03-29T07:17:00Z</dcterms:created>
  <dcterms:modified xsi:type="dcterms:W3CDTF">2016-03-29T07:20:00Z</dcterms:modified>
</cp:coreProperties>
</file>